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7EEB" w14:textId="62D9DC8A" w:rsidR="00152BFE" w:rsidRPr="00BC56F7" w:rsidRDefault="00631D27" w:rsidP="00152BFE">
      <w:pPr>
        <w:rPr>
          <w:rFonts w:ascii="Arial" w:hAnsi="Arial" w:cs="Arial"/>
          <w:sz w:val="40"/>
          <w:szCs w:val="40"/>
        </w:rPr>
      </w:pPr>
      <w:r w:rsidRPr="00BC56F7">
        <w:rPr>
          <w:rFonts w:ascii="Arial" w:hAnsi="Arial" w:cs="Arial"/>
          <w:sz w:val="40"/>
          <w:szCs w:val="40"/>
        </w:rPr>
        <w:t>Annual General Meeting 202</w:t>
      </w:r>
      <w:r w:rsidR="00423BFE">
        <w:rPr>
          <w:rFonts w:ascii="Arial" w:hAnsi="Arial" w:cs="Arial"/>
          <w:sz w:val="40"/>
          <w:szCs w:val="40"/>
        </w:rPr>
        <w:t>2</w:t>
      </w:r>
    </w:p>
    <w:p w14:paraId="569AE50E" w14:textId="56339F6B" w:rsidR="00BC56F7" w:rsidRDefault="00423BFE" w:rsidP="00152B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C56F7" w:rsidRPr="00BC56F7">
        <w:rPr>
          <w:rFonts w:ascii="Arial" w:hAnsi="Arial" w:cs="Arial"/>
          <w:sz w:val="24"/>
          <w:szCs w:val="24"/>
          <w:vertAlign w:val="superscript"/>
        </w:rPr>
        <w:t>th</w:t>
      </w:r>
      <w:r w:rsidR="00BC56F7" w:rsidRPr="00BC56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October</w:t>
      </w:r>
      <w:r w:rsidR="00BC56F7" w:rsidRPr="00BC56F7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BC56F7" w:rsidRPr="00BC56F7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7</w:t>
      </w:r>
      <w:r w:rsidR="00BC56F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BC56F7">
        <w:rPr>
          <w:rFonts w:ascii="Arial" w:hAnsi="Arial" w:cs="Arial"/>
          <w:sz w:val="24"/>
          <w:szCs w:val="24"/>
        </w:rPr>
        <w:t>0 pm</w:t>
      </w:r>
      <w:r w:rsidR="00BC56F7" w:rsidRPr="00BC56F7">
        <w:rPr>
          <w:rFonts w:ascii="Arial" w:hAnsi="Arial" w:cs="Arial"/>
          <w:sz w:val="24"/>
          <w:szCs w:val="24"/>
        </w:rPr>
        <w:t xml:space="preserve"> | </w:t>
      </w:r>
      <w:r>
        <w:rPr>
          <w:rFonts w:ascii="Arial" w:hAnsi="Arial" w:cs="Arial"/>
          <w:sz w:val="24"/>
          <w:szCs w:val="24"/>
        </w:rPr>
        <w:t>Silver Room</w:t>
      </w:r>
      <w:r w:rsidR="002A1F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Caboolture Sports Central</w:t>
      </w:r>
    </w:p>
    <w:p w14:paraId="06F363E2" w14:textId="2D60B6C3" w:rsidR="00631D27" w:rsidRDefault="002A1F35" w:rsidP="00152BF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Minutes</w:t>
      </w:r>
    </w:p>
    <w:p w14:paraId="72503339" w14:textId="2FAB1F80" w:rsidR="00AE2688" w:rsidRPr="00995345" w:rsidRDefault="00AE2688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95345">
        <w:rPr>
          <w:rFonts w:ascii="Arial" w:hAnsi="Arial" w:cs="Arial"/>
          <w:b/>
          <w:bCs/>
          <w:sz w:val="20"/>
          <w:szCs w:val="20"/>
        </w:rPr>
        <w:t>Welcome</w:t>
      </w:r>
    </w:p>
    <w:p w14:paraId="52E43D07" w14:textId="1C6CE551" w:rsidR="00AE2688" w:rsidRDefault="006F38AD" w:rsidP="00AE2688">
      <w:pPr>
        <w:pStyle w:val="ListParagraph"/>
        <w:spacing w:before="120" w:after="24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Caboolture Sports Club</w:t>
      </w:r>
      <w:r w:rsidR="001542A7">
        <w:rPr>
          <w:rFonts w:ascii="Arial" w:hAnsi="Arial" w:cs="Arial"/>
          <w:sz w:val="20"/>
          <w:szCs w:val="20"/>
        </w:rPr>
        <w:t xml:space="preserve"> (CSC)</w:t>
      </w:r>
      <w:r>
        <w:rPr>
          <w:rFonts w:ascii="Arial" w:hAnsi="Arial" w:cs="Arial"/>
          <w:sz w:val="20"/>
          <w:szCs w:val="20"/>
        </w:rPr>
        <w:t xml:space="preserve"> Chief Executive Officer D Finch</w:t>
      </w:r>
      <w:r w:rsidR="00F556E9">
        <w:rPr>
          <w:rFonts w:ascii="Arial" w:hAnsi="Arial" w:cs="Arial"/>
          <w:sz w:val="20"/>
          <w:szCs w:val="20"/>
        </w:rPr>
        <w:t xml:space="preserve"> opened the meeting </w:t>
      </w:r>
      <w:r>
        <w:rPr>
          <w:rFonts w:ascii="Arial" w:hAnsi="Arial" w:cs="Arial"/>
          <w:sz w:val="20"/>
          <w:szCs w:val="20"/>
        </w:rPr>
        <w:t>at 07:05</w:t>
      </w:r>
      <w:r w:rsidR="00F556E9">
        <w:rPr>
          <w:rFonts w:ascii="Arial" w:hAnsi="Arial" w:cs="Arial"/>
          <w:sz w:val="20"/>
          <w:szCs w:val="20"/>
        </w:rPr>
        <w:t xml:space="preserve"> pm</w:t>
      </w:r>
    </w:p>
    <w:p w14:paraId="4EAD5FC8" w14:textId="59D09375" w:rsidR="00AE2688" w:rsidRPr="00995345" w:rsidRDefault="00AE2688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95345">
        <w:rPr>
          <w:rFonts w:ascii="Arial" w:hAnsi="Arial" w:cs="Arial"/>
          <w:b/>
          <w:bCs/>
          <w:sz w:val="20"/>
          <w:szCs w:val="20"/>
        </w:rPr>
        <w:t>Apologies</w:t>
      </w:r>
    </w:p>
    <w:p w14:paraId="2935E165" w14:textId="6FC2DC0F" w:rsidR="00AE2688" w:rsidRDefault="006F38AD" w:rsidP="00AE2688">
      <w:pPr>
        <w:pStyle w:val="ListParagraph"/>
        <w:spacing w:before="120" w:after="24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were no </w:t>
      </w:r>
      <w:r w:rsidR="00995345">
        <w:rPr>
          <w:rFonts w:ascii="Arial" w:hAnsi="Arial" w:cs="Arial"/>
          <w:sz w:val="20"/>
          <w:szCs w:val="20"/>
        </w:rPr>
        <w:t>apologies received</w:t>
      </w:r>
      <w:r>
        <w:rPr>
          <w:rFonts w:ascii="Arial" w:hAnsi="Arial" w:cs="Arial"/>
          <w:sz w:val="20"/>
          <w:szCs w:val="20"/>
        </w:rPr>
        <w:t xml:space="preserve"> / tabled at the meeting</w:t>
      </w:r>
      <w:r w:rsidR="00E47D96">
        <w:rPr>
          <w:rFonts w:ascii="Arial" w:hAnsi="Arial" w:cs="Arial"/>
          <w:sz w:val="20"/>
          <w:szCs w:val="20"/>
        </w:rPr>
        <w:t>.</w:t>
      </w:r>
    </w:p>
    <w:p w14:paraId="65DC4813" w14:textId="49D8E33D" w:rsidR="00F905A5" w:rsidRDefault="002F7BA8" w:rsidP="00F905A5">
      <w:pPr>
        <w:pStyle w:val="ListParagraph"/>
        <w:spacing w:before="120" w:after="240" w:line="264" w:lineRule="auto"/>
        <w:ind w:left="357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905A5">
        <w:rPr>
          <w:rFonts w:ascii="Arial" w:hAnsi="Arial" w:cs="Arial"/>
          <w:sz w:val="20"/>
          <w:szCs w:val="20"/>
        </w:rPr>
        <w:t xml:space="preserve">There were </w:t>
      </w:r>
      <w:r w:rsidR="00892B6C" w:rsidRPr="00F905A5">
        <w:rPr>
          <w:rFonts w:ascii="Arial" w:hAnsi="Arial" w:cs="Arial"/>
          <w:sz w:val="20"/>
          <w:szCs w:val="20"/>
        </w:rPr>
        <w:t>2</w:t>
      </w:r>
      <w:r w:rsidR="00F905A5">
        <w:rPr>
          <w:rFonts w:ascii="Arial" w:hAnsi="Arial" w:cs="Arial"/>
          <w:sz w:val="20"/>
          <w:szCs w:val="20"/>
        </w:rPr>
        <w:t>1</w:t>
      </w:r>
      <w:r w:rsidRPr="00F905A5">
        <w:rPr>
          <w:rFonts w:ascii="Arial" w:hAnsi="Arial" w:cs="Arial"/>
          <w:sz w:val="20"/>
          <w:szCs w:val="20"/>
        </w:rPr>
        <w:t xml:space="preserve"> people in attendance </w:t>
      </w:r>
      <w:r w:rsidR="00F905A5">
        <w:rPr>
          <w:rFonts w:ascii="Arial" w:hAnsi="Arial" w:cs="Arial"/>
          <w:sz w:val="20"/>
          <w:szCs w:val="20"/>
        </w:rPr>
        <w:t>that were</w:t>
      </w:r>
      <w:r w:rsidRPr="00F905A5">
        <w:rPr>
          <w:rFonts w:ascii="Arial" w:hAnsi="Arial" w:cs="Arial"/>
          <w:sz w:val="20"/>
          <w:szCs w:val="20"/>
        </w:rPr>
        <w:t xml:space="preserve"> eligible to vote</w:t>
      </w:r>
      <w:r w:rsidR="00F905A5">
        <w:rPr>
          <w:rFonts w:ascii="Arial" w:hAnsi="Arial" w:cs="Arial"/>
          <w:sz w:val="20"/>
          <w:szCs w:val="20"/>
        </w:rPr>
        <w:t>.</w:t>
      </w:r>
      <w:r w:rsidR="006F38AD">
        <w:rPr>
          <w:rFonts w:ascii="Arial" w:hAnsi="Arial" w:cs="Arial"/>
          <w:sz w:val="20"/>
          <w:szCs w:val="20"/>
        </w:rPr>
        <w:t xml:space="preserve"> </w:t>
      </w:r>
    </w:p>
    <w:p w14:paraId="31B5DEEC" w14:textId="56BE840A" w:rsidR="00AE2688" w:rsidRPr="00995345" w:rsidRDefault="002F7BA8" w:rsidP="00F905A5">
      <w:pPr>
        <w:pStyle w:val="ListParagraph"/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President’s welcome</w:t>
      </w:r>
    </w:p>
    <w:p w14:paraId="1CD0E8E0" w14:textId="1F41776C" w:rsidR="0050507F" w:rsidRPr="002F7BA8" w:rsidRDefault="006F38AD" w:rsidP="002F7BA8">
      <w:pPr>
        <w:spacing w:before="120" w:after="240" w:line="264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 Kerr welcomed all members and guests attending the meeting</w:t>
      </w:r>
    </w:p>
    <w:p w14:paraId="35B2EC7F" w14:textId="59E7827A" w:rsidR="00AE2688" w:rsidRPr="009D101D" w:rsidRDefault="00F556E9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D101D">
        <w:rPr>
          <w:rFonts w:ascii="Arial" w:hAnsi="Arial" w:cs="Arial"/>
          <w:b/>
          <w:bCs/>
          <w:sz w:val="20"/>
          <w:szCs w:val="20"/>
        </w:rPr>
        <w:t>Acceptance of minutes of previous Annual General Meeting</w:t>
      </w:r>
    </w:p>
    <w:p w14:paraId="5F0BA8DE" w14:textId="77777777" w:rsidR="007C1596" w:rsidRDefault="0050507F" w:rsidP="007C1596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for the 202</w:t>
      </w:r>
      <w:r w:rsidR="006F38A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AGM were </w:t>
      </w:r>
      <w:r w:rsidR="00892B6C">
        <w:rPr>
          <w:rFonts w:ascii="Arial" w:hAnsi="Arial" w:cs="Arial"/>
          <w:sz w:val="20"/>
          <w:szCs w:val="20"/>
        </w:rPr>
        <w:t xml:space="preserve">moved </w:t>
      </w:r>
      <w:r>
        <w:rPr>
          <w:rFonts w:ascii="Arial" w:hAnsi="Arial" w:cs="Arial"/>
          <w:sz w:val="20"/>
          <w:szCs w:val="20"/>
        </w:rPr>
        <w:t xml:space="preserve">by </w:t>
      </w:r>
      <w:r w:rsidRPr="00892B6C">
        <w:rPr>
          <w:rFonts w:ascii="Arial" w:hAnsi="Arial" w:cs="Arial"/>
          <w:sz w:val="20"/>
          <w:szCs w:val="20"/>
        </w:rPr>
        <w:t xml:space="preserve">C </w:t>
      </w:r>
      <w:r w:rsidR="00412213" w:rsidRPr="00892B6C">
        <w:rPr>
          <w:rFonts w:ascii="Arial" w:hAnsi="Arial" w:cs="Arial"/>
          <w:sz w:val="20"/>
          <w:szCs w:val="20"/>
        </w:rPr>
        <w:t>Devereaux-</w:t>
      </w:r>
      <w:r w:rsidRPr="00892B6C">
        <w:rPr>
          <w:rFonts w:ascii="Arial" w:hAnsi="Arial" w:cs="Arial"/>
          <w:sz w:val="20"/>
          <w:szCs w:val="20"/>
        </w:rPr>
        <w:t xml:space="preserve">Larkin and seconded by D </w:t>
      </w:r>
      <w:r w:rsidR="00892B6C" w:rsidRPr="00892B6C">
        <w:rPr>
          <w:rFonts w:ascii="Arial" w:hAnsi="Arial" w:cs="Arial"/>
          <w:sz w:val="20"/>
          <w:szCs w:val="20"/>
        </w:rPr>
        <w:t>McGuinness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2433608" w14:textId="3A29576C" w:rsidR="0050507F" w:rsidRPr="0050507F" w:rsidRDefault="002F7BA8" w:rsidP="007C1596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- </w:t>
      </w:r>
      <w:r w:rsidR="0050507F">
        <w:rPr>
          <w:rFonts w:ascii="Arial" w:hAnsi="Arial" w:cs="Arial"/>
          <w:sz w:val="20"/>
          <w:szCs w:val="20"/>
        </w:rPr>
        <w:t>Carried.</w:t>
      </w:r>
    </w:p>
    <w:p w14:paraId="21856E72" w14:textId="41DD6C7C" w:rsidR="00F556E9" w:rsidRPr="009D101D" w:rsidRDefault="00F556E9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D101D">
        <w:rPr>
          <w:rFonts w:ascii="Arial" w:hAnsi="Arial" w:cs="Arial"/>
          <w:b/>
          <w:bCs/>
          <w:sz w:val="20"/>
          <w:szCs w:val="20"/>
        </w:rPr>
        <w:t>President’s Report</w:t>
      </w:r>
    </w:p>
    <w:p w14:paraId="65D97D3C" w14:textId="7D65DDEB" w:rsidR="00F556E9" w:rsidRDefault="0050507F" w:rsidP="00892B6C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892B6C">
        <w:rPr>
          <w:rFonts w:ascii="Arial" w:hAnsi="Arial" w:cs="Arial"/>
          <w:sz w:val="20"/>
          <w:szCs w:val="20"/>
        </w:rPr>
        <w:t xml:space="preserve">H Kerr provided the President’s Report to members highlighting the </w:t>
      </w:r>
      <w:r w:rsidR="00892B6C">
        <w:rPr>
          <w:rFonts w:ascii="Arial" w:hAnsi="Arial" w:cs="Arial"/>
          <w:sz w:val="20"/>
          <w:szCs w:val="20"/>
        </w:rPr>
        <w:t xml:space="preserve">following </w:t>
      </w:r>
      <w:r w:rsidRPr="00892B6C">
        <w:rPr>
          <w:rFonts w:ascii="Arial" w:hAnsi="Arial" w:cs="Arial"/>
          <w:sz w:val="20"/>
          <w:szCs w:val="20"/>
        </w:rPr>
        <w:t>achievements of the past year.</w:t>
      </w:r>
    </w:p>
    <w:p w14:paraId="2E9888E0" w14:textId="7512B5A3" w:rsidR="00892B6C" w:rsidRDefault="00892B6C" w:rsidP="00892B6C">
      <w:pPr>
        <w:pStyle w:val="ListParagraph"/>
        <w:numPr>
          <w:ilvl w:val="0"/>
          <w:numId w:val="4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Celebrating 40 years of Caboolture Touch Association</w:t>
      </w:r>
    </w:p>
    <w:p w14:paraId="4BE13471" w14:textId="30A65954" w:rsidR="00892B6C" w:rsidRDefault="00892B6C" w:rsidP="00892B6C">
      <w:pPr>
        <w:pStyle w:val="ListParagraph"/>
        <w:numPr>
          <w:ilvl w:val="0"/>
          <w:numId w:val="4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 of the new clubhouse</w:t>
      </w:r>
    </w:p>
    <w:p w14:paraId="74C5BC39" w14:textId="6104852E" w:rsidR="00892B6C" w:rsidRPr="00892B6C" w:rsidRDefault="00892B6C" w:rsidP="00892B6C">
      <w:pPr>
        <w:pStyle w:val="ListParagraph"/>
        <w:numPr>
          <w:ilvl w:val="0"/>
          <w:numId w:val="4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Identifying the various successes of the club. </w:t>
      </w:r>
      <w:r w:rsidRPr="00E47D96">
        <w:rPr>
          <w:rFonts w:ascii="Arial" w:hAnsi="Arial" w:cs="Arial"/>
          <w:sz w:val="20"/>
          <w:szCs w:val="20"/>
        </w:rPr>
        <w:t>Noting that the Presidents Report is to be published on the CTA web site</w:t>
      </w:r>
      <w:r w:rsidR="00E47D96">
        <w:rPr>
          <w:rFonts w:ascii="Arial" w:hAnsi="Arial" w:cs="Arial"/>
          <w:sz w:val="20"/>
          <w:szCs w:val="20"/>
        </w:rPr>
        <w:t>.</w:t>
      </w:r>
    </w:p>
    <w:p w14:paraId="1D35CAF4" w14:textId="203EE35E" w:rsidR="00892B6C" w:rsidRDefault="00892B6C" w:rsidP="00892B6C">
      <w:pPr>
        <w:pStyle w:val="ListParagraph"/>
        <w:numPr>
          <w:ilvl w:val="0"/>
          <w:numId w:val="4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Acknowledged the T Waaka as the new Day Administrator for the club</w:t>
      </w:r>
      <w:r w:rsidR="00E47D96">
        <w:rPr>
          <w:rFonts w:ascii="Arial" w:hAnsi="Arial" w:cs="Arial"/>
          <w:sz w:val="20"/>
          <w:szCs w:val="20"/>
        </w:rPr>
        <w:t>.</w:t>
      </w:r>
    </w:p>
    <w:p w14:paraId="47E2A8E0" w14:textId="27A54C64" w:rsidR="00892B6C" w:rsidRDefault="00892B6C" w:rsidP="00892B6C">
      <w:pPr>
        <w:pStyle w:val="ListParagraph"/>
        <w:numPr>
          <w:ilvl w:val="0"/>
          <w:numId w:val="4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C Burton for running the competitions</w:t>
      </w:r>
      <w:r w:rsidR="00E47D96">
        <w:rPr>
          <w:rFonts w:ascii="Arial" w:hAnsi="Arial" w:cs="Arial"/>
          <w:sz w:val="20"/>
          <w:szCs w:val="20"/>
        </w:rPr>
        <w:t>.</w:t>
      </w:r>
    </w:p>
    <w:p w14:paraId="32100E68" w14:textId="6B184667" w:rsidR="00892B6C" w:rsidRDefault="00892B6C" w:rsidP="00892B6C">
      <w:pPr>
        <w:pStyle w:val="ListParagraph"/>
        <w:numPr>
          <w:ilvl w:val="0"/>
          <w:numId w:val="4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R Stephens and Caboolture Sports Club for their support</w:t>
      </w:r>
    </w:p>
    <w:p w14:paraId="162BF6F1" w14:textId="26F47A30" w:rsidR="00A711E1" w:rsidRPr="00F556E9" w:rsidRDefault="00A711E1" w:rsidP="00892B6C">
      <w:pPr>
        <w:pStyle w:val="ListParagraph"/>
        <w:numPr>
          <w:ilvl w:val="0"/>
          <w:numId w:val="4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the members of the current Management Committee.</w:t>
      </w:r>
    </w:p>
    <w:p w14:paraId="6697BA78" w14:textId="3CD354FD" w:rsidR="00F556E9" w:rsidRPr="009D101D" w:rsidRDefault="00F556E9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D101D">
        <w:rPr>
          <w:rFonts w:ascii="Arial" w:hAnsi="Arial" w:cs="Arial"/>
          <w:b/>
          <w:bCs/>
          <w:sz w:val="20"/>
          <w:szCs w:val="20"/>
        </w:rPr>
        <w:t>Treasurer’s Report</w:t>
      </w:r>
    </w:p>
    <w:p w14:paraId="7C22DDEB" w14:textId="77777777" w:rsidR="00A711E1" w:rsidRDefault="00A711E1" w:rsidP="00A711E1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A711E1">
        <w:rPr>
          <w:rFonts w:ascii="Arial" w:hAnsi="Arial" w:cs="Arial"/>
          <w:sz w:val="20"/>
          <w:szCs w:val="20"/>
        </w:rPr>
        <w:t xml:space="preserve">S Hogg </w:t>
      </w:r>
      <w:r w:rsidR="001C6E92" w:rsidRPr="00A711E1">
        <w:rPr>
          <w:rFonts w:ascii="Arial" w:hAnsi="Arial" w:cs="Arial"/>
          <w:sz w:val="20"/>
          <w:szCs w:val="20"/>
        </w:rPr>
        <w:t xml:space="preserve">provided the Treasurer’s Report </w:t>
      </w:r>
      <w:r>
        <w:rPr>
          <w:rFonts w:ascii="Arial" w:hAnsi="Arial" w:cs="Arial"/>
          <w:sz w:val="20"/>
          <w:szCs w:val="20"/>
        </w:rPr>
        <w:t xml:space="preserve">(attached) </w:t>
      </w:r>
      <w:r w:rsidR="001C6E92" w:rsidRPr="00A711E1">
        <w:rPr>
          <w:rFonts w:ascii="Arial" w:hAnsi="Arial" w:cs="Arial"/>
          <w:sz w:val="20"/>
          <w:szCs w:val="20"/>
        </w:rPr>
        <w:t xml:space="preserve">to members and </w:t>
      </w:r>
      <w:r w:rsidRPr="00A711E1">
        <w:rPr>
          <w:rFonts w:ascii="Arial" w:hAnsi="Arial" w:cs="Arial"/>
          <w:sz w:val="20"/>
          <w:szCs w:val="20"/>
        </w:rPr>
        <w:t>highlighted the following:</w:t>
      </w:r>
    </w:p>
    <w:p w14:paraId="60F48EB5" w14:textId="0B70577F" w:rsidR="00A711E1" w:rsidRDefault="00A711E1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operating loss in 2021 – 2022 was $130, 026 dollars</w:t>
      </w:r>
      <w:r w:rsidR="00E47D96">
        <w:rPr>
          <w:rFonts w:ascii="Arial" w:hAnsi="Arial" w:cs="Arial"/>
          <w:sz w:val="20"/>
          <w:szCs w:val="20"/>
        </w:rPr>
        <w:t>.</w:t>
      </w:r>
    </w:p>
    <w:p w14:paraId="035230CD" w14:textId="6FD95B55" w:rsidR="00A711E1" w:rsidRDefault="00A711E1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Revenue collect in this financial year was $269,335 dollars</w:t>
      </w:r>
      <w:r w:rsidR="00E47D96">
        <w:rPr>
          <w:rFonts w:ascii="Arial" w:hAnsi="Arial" w:cs="Arial"/>
          <w:sz w:val="20"/>
          <w:szCs w:val="20"/>
        </w:rPr>
        <w:t>.</w:t>
      </w:r>
    </w:p>
    <w:p w14:paraId="5D0ABB27" w14:textId="43E35B47" w:rsidR="00A711E1" w:rsidRDefault="00A711E1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an increase in expenses (breakdown provided in Treasures Report)</w:t>
      </w:r>
    </w:p>
    <w:p w14:paraId="7AFE5F41" w14:textId="7B61A970" w:rsidR="00A711E1" w:rsidRDefault="007C1596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Sponsorship income has significantly increased from $500 in 2021 to $ 17,727 in 2022. A Hogg thanked D M</w:t>
      </w:r>
      <w:r w:rsidRPr="00892B6C">
        <w:rPr>
          <w:rFonts w:ascii="Arial" w:hAnsi="Arial" w:cs="Arial"/>
          <w:sz w:val="20"/>
          <w:szCs w:val="20"/>
        </w:rPr>
        <w:t>cGuinness</w:t>
      </w:r>
      <w:r>
        <w:rPr>
          <w:rFonts w:ascii="Arial" w:hAnsi="Arial" w:cs="Arial"/>
          <w:sz w:val="20"/>
          <w:szCs w:val="20"/>
        </w:rPr>
        <w:t xml:space="preserve"> and T McClintock for their work in getting the program off the ground along with all of the CTA sponsors.</w:t>
      </w:r>
    </w:p>
    <w:p w14:paraId="6FADA662" w14:textId="3077BFF1" w:rsidR="007C1596" w:rsidRDefault="007C1596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Decrease in predicted revenue from senior and junior registration fees noting $20,340 dollars remain outstanding.</w:t>
      </w:r>
    </w:p>
    <w:p w14:paraId="3561397A" w14:textId="3F95B2EF" w:rsidR="007C1596" w:rsidRDefault="007C1596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Loss made in 2022 budget for Junior State Cup regarding referee and accommodation payments related to the cancellation of the event.</w:t>
      </w:r>
    </w:p>
    <w:p w14:paraId="09F22544" w14:textId="0091AE90" w:rsidR="007C1596" w:rsidRDefault="007C1596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 issues regarding uniform and invoice management</w:t>
      </w:r>
      <w:r w:rsidR="00E47D96">
        <w:rPr>
          <w:rFonts w:ascii="Arial" w:hAnsi="Arial" w:cs="Arial"/>
          <w:sz w:val="20"/>
          <w:szCs w:val="20"/>
        </w:rPr>
        <w:t>.</w:t>
      </w:r>
    </w:p>
    <w:p w14:paraId="5394D143" w14:textId="6FE28654" w:rsidR="007C1596" w:rsidRDefault="007C1596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Noted difficulties in compiling the report</w:t>
      </w:r>
      <w:r w:rsidR="00E47D96">
        <w:rPr>
          <w:rFonts w:ascii="Arial" w:hAnsi="Arial" w:cs="Arial"/>
          <w:sz w:val="20"/>
          <w:szCs w:val="20"/>
        </w:rPr>
        <w:t>.</w:t>
      </w:r>
    </w:p>
    <w:p w14:paraId="27BAFC40" w14:textId="11412706" w:rsidR="007C1596" w:rsidRDefault="007C1596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Thanked Caboolture Sports Club for their generous financial support </w:t>
      </w:r>
      <w:r w:rsidR="00001432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Caboolture</w:t>
      </w:r>
      <w:r w:rsidR="00001432">
        <w:rPr>
          <w:rFonts w:ascii="Arial" w:hAnsi="Arial" w:cs="Arial"/>
          <w:sz w:val="20"/>
          <w:szCs w:val="20"/>
        </w:rPr>
        <w:t xml:space="preserve"> Touch Association and their funding of our programs.</w:t>
      </w:r>
    </w:p>
    <w:p w14:paraId="330FAF15" w14:textId="60483150" w:rsidR="00001432" w:rsidRPr="00A711E1" w:rsidRDefault="00001432" w:rsidP="00A711E1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Thanked our affiliate, Sunshine Coast Touch, for their advice and support</w:t>
      </w:r>
      <w:r w:rsidR="00E47D96">
        <w:rPr>
          <w:rFonts w:ascii="Arial" w:hAnsi="Arial" w:cs="Arial"/>
          <w:sz w:val="20"/>
          <w:szCs w:val="20"/>
        </w:rPr>
        <w:t>.</w:t>
      </w:r>
    </w:p>
    <w:p w14:paraId="14B930F9" w14:textId="336951FC" w:rsidR="00F556E9" w:rsidRDefault="00F556E9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D101D">
        <w:rPr>
          <w:rFonts w:ascii="Arial" w:hAnsi="Arial" w:cs="Arial"/>
          <w:b/>
          <w:bCs/>
          <w:sz w:val="20"/>
          <w:szCs w:val="20"/>
        </w:rPr>
        <w:t>Acceptance of financial statements</w:t>
      </w:r>
    </w:p>
    <w:p w14:paraId="0E1826F6" w14:textId="77777777" w:rsidR="002009EA" w:rsidRDefault="000D24B9" w:rsidP="000D24B9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892B6C">
        <w:rPr>
          <w:rFonts w:ascii="Arial" w:hAnsi="Arial" w:cs="Arial"/>
          <w:sz w:val="20"/>
          <w:szCs w:val="20"/>
        </w:rPr>
        <w:t>C Devereaux-Larkin</w:t>
      </w:r>
      <w:r>
        <w:rPr>
          <w:rFonts w:ascii="Arial" w:hAnsi="Arial" w:cs="Arial"/>
          <w:sz w:val="20"/>
          <w:szCs w:val="20"/>
        </w:rPr>
        <w:t xml:space="preserve"> addressed those present identifying that </w:t>
      </w:r>
      <w:r w:rsidR="002009EA">
        <w:rPr>
          <w:rFonts w:ascii="Arial" w:hAnsi="Arial" w:cs="Arial"/>
          <w:sz w:val="20"/>
          <w:szCs w:val="20"/>
        </w:rPr>
        <w:t>the following:</w:t>
      </w:r>
    </w:p>
    <w:p w14:paraId="473D0C53" w14:textId="4C98A58D" w:rsidR="000D24B9" w:rsidRDefault="002009EA" w:rsidP="002009EA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D24B9">
        <w:rPr>
          <w:rFonts w:ascii="Arial" w:hAnsi="Arial" w:cs="Arial"/>
          <w:sz w:val="20"/>
          <w:szCs w:val="20"/>
        </w:rPr>
        <w:t>o affiliation to anyone and wanted to be open and transparent for our membe</w:t>
      </w:r>
      <w:r>
        <w:rPr>
          <w:rFonts w:ascii="Arial" w:hAnsi="Arial" w:cs="Arial"/>
          <w:sz w:val="20"/>
          <w:szCs w:val="20"/>
        </w:rPr>
        <w:t>rs</w:t>
      </w:r>
      <w:r w:rsidR="00E47D96">
        <w:rPr>
          <w:rFonts w:ascii="Arial" w:hAnsi="Arial" w:cs="Arial"/>
          <w:sz w:val="20"/>
          <w:szCs w:val="20"/>
        </w:rPr>
        <w:t>.</w:t>
      </w:r>
    </w:p>
    <w:p w14:paraId="2B0FD3CE" w14:textId="77777777" w:rsidR="002009EA" w:rsidRDefault="002009EA" w:rsidP="002009EA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Raised questions around </w:t>
      </w:r>
    </w:p>
    <w:p w14:paraId="741BAE93" w14:textId="25DAD58C" w:rsidR="002009EA" w:rsidRDefault="002009EA" w:rsidP="002009EA">
      <w:pPr>
        <w:pStyle w:val="ListParagraph"/>
        <w:numPr>
          <w:ilvl w:val="1"/>
          <w:numId w:val="5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fees</w:t>
      </w:r>
      <w:r w:rsidR="00E47D96">
        <w:rPr>
          <w:rFonts w:ascii="Arial" w:hAnsi="Arial" w:cs="Arial"/>
          <w:sz w:val="20"/>
          <w:szCs w:val="20"/>
        </w:rPr>
        <w:t>.</w:t>
      </w:r>
    </w:p>
    <w:p w14:paraId="5BA4C62C" w14:textId="1713E3BF" w:rsidR="002009EA" w:rsidRDefault="002009EA" w:rsidP="002009EA">
      <w:pPr>
        <w:pStyle w:val="ListParagraph"/>
        <w:numPr>
          <w:ilvl w:val="1"/>
          <w:numId w:val="5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Decrease in number of competition matches</w:t>
      </w:r>
      <w:r w:rsidR="00E47D96">
        <w:rPr>
          <w:rFonts w:ascii="Arial" w:hAnsi="Arial" w:cs="Arial"/>
          <w:sz w:val="20"/>
          <w:szCs w:val="20"/>
        </w:rPr>
        <w:t>.</w:t>
      </w:r>
    </w:p>
    <w:p w14:paraId="0FA242A9" w14:textId="7114E1D6" w:rsidR="002009EA" w:rsidRDefault="002009EA" w:rsidP="002009EA">
      <w:pPr>
        <w:pStyle w:val="ListParagraph"/>
        <w:numPr>
          <w:ilvl w:val="1"/>
          <w:numId w:val="5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High Performance, Causal and Canteen staff</w:t>
      </w:r>
      <w:r w:rsidR="00E47D96">
        <w:rPr>
          <w:rFonts w:ascii="Arial" w:hAnsi="Arial" w:cs="Arial"/>
          <w:sz w:val="20"/>
          <w:szCs w:val="20"/>
        </w:rPr>
        <w:t>.</w:t>
      </w:r>
    </w:p>
    <w:p w14:paraId="342ED59D" w14:textId="77777777" w:rsidR="002009EA" w:rsidRDefault="002009EA" w:rsidP="002009EA">
      <w:pPr>
        <w:pStyle w:val="ListParagraph"/>
        <w:numPr>
          <w:ilvl w:val="0"/>
          <w:numId w:val="5"/>
        </w:numPr>
        <w:spacing w:before="120" w:after="120" w:line="264" w:lineRule="auto"/>
        <w:ind w:left="1071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Raised questions around </w:t>
      </w:r>
    </w:p>
    <w:p w14:paraId="6BA36F1D" w14:textId="3D16918E" w:rsidR="002009EA" w:rsidRDefault="002009EA" w:rsidP="002009EA">
      <w:pPr>
        <w:pStyle w:val="ListParagraph"/>
        <w:numPr>
          <w:ilvl w:val="1"/>
          <w:numId w:val="5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Significant amount of dollars owed by teams (senior and junior)</w:t>
      </w:r>
      <w:r w:rsidR="00E47D96">
        <w:rPr>
          <w:rFonts w:ascii="Arial" w:hAnsi="Arial" w:cs="Arial"/>
          <w:sz w:val="20"/>
          <w:szCs w:val="20"/>
        </w:rPr>
        <w:t>.</w:t>
      </w:r>
    </w:p>
    <w:p w14:paraId="4F2BE59C" w14:textId="4928CB93" w:rsidR="002009EA" w:rsidRDefault="002009EA" w:rsidP="002009EA">
      <w:pPr>
        <w:pStyle w:val="ListParagraph"/>
        <w:numPr>
          <w:ilvl w:val="1"/>
          <w:numId w:val="5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By-laws and inability to vote</w:t>
      </w:r>
      <w:r w:rsidR="00E47D96">
        <w:rPr>
          <w:rFonts w:ascii="Arial" w:hAnsi="Arial" w:cs="Arial"/>
          <w:sz w:val="20"/>
          <w:szCs w:val="20"/>
        </w:rPr>
        <w:t>.</w:t>
      </w:r>
    </w:p>
    <w:p w14:paraId="3FB8B4BB" w14:textId="76FB6507" w:rsidR="002009EA" w:rsidRDefault="002009EA" w:rsidP="002009EA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discussion on the topic of voting was held including discussion around fees and member eligibility to vote. </w:t>
      </w:r>
    </w:p>
    <w:p w14:paraId="61C8FF1E" w14:textId="42B34825" w:rsidR="002009EA" w:rsidRDefault="002009EA" w:rsidP="002009EA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discussion around concerns related to access to information</w:t>
      </w:r>
      <w:r w:rsidR="001542A7">
        <w:rPr>
          <w:rFonts w:ascii="Arial" w:hAnsi="Arial" w:cs="Arial"/>
          <w:sz w:val="20"/>
          <w:szCs w:val="20"/>
        </w:rPr>
        <w:t>.</w:t>
      </w:r>
    </w:p>
    <w:p w14:paraId="1E651831" w14:textId="5746ABA3" w:rsidR="001542A7" w:rsidRDefault="001542A7" w:rsidP="002009EA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Finch provided overview of CSC view and identified that they are looking at all their procedures at the CSC Foundation Clubs.</w:t>
      </w:r>
    </w:p>
    <w:p w14:paraId="486629AF" w14:textId="7DE12EFD" w:rsidR="001542A7" w:rsidRDefault="001542A7" w:rsidP="002009EA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McGuiness identified to members that governance training (corporate) would be provided to Committees to support governance compliance and aiming for blanket coverage across al</w:t>
      </w:r>
      <w:r w:rsidR="00E47D96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clubs. The benefit of paid employees was also highlighted.</w:t>
      </w:r>
    </w:p>
    <w:p w14:paraId="03C0736E" w14:textId="3D8F3724" w:rsidR="001542A7" w:rsidRDefault="001542A7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McGuiness further identified the impact of COVID-19, filed closures and tha</w:t>
      </w:r>
      <w:r w:rsidR="002D322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the Committee have done a sterling job and all the volunteers.</w:t>
      </w:r>
    </w:p>
    <w:p w14:paraId="63D30C47" w14:textId="08AE5B9B" w:rsidR="001542A7" w:rsidRDefault="001542A7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discussion around issues highlighting</w:t>
      </w:r>
      <w:r w:rsidR="002D3220">
        <w:rPr>
          <w:rFonts w:ascii="Arial" w:hAnsi="Arial" w:cs="Arial"/>
          <w:sz w:val="20"/>
          <w:szCs w:val="20"/>
        </w:rPr>
        <w:t xml:space="preserve"> hosting a </w:t>
      </w:r>
      <w:r>
        <w:rPr>
          <w:rFonts w:ascii="Arial" w:hAnsi="Arial" w:cs="Arial"/>
          <w:sz w:val="20"/>
          <w:szCs w:val="20"/>
        </w:rPr>
        <w:t>think tank, Volunteer Day</w:t>
      </w:r>
      <w:r w:rsidR="002D3220">
        <w:rPr>
          <w:rFonts w:ascii="Arial" w:hAnsi="Arial" w:cs="Arial"/>
          <w:sz w:val="20"/>
          <w:szCs w:val="20"/>
        </w:rPr>
        <w:t xml:space="preserve"> on 12</w:t>
      </w:r>
      <w:r w:rsidR="002D3220" w:rsidRPr="002D3220">
        <w:rPr>
          <w:rFonts w:ascii="Arial" w:hAnsi="Arial" w:cs="Arial"/>
          <w:sz w:val="20"/>
          <w:szCs w:val="20"/>
          <w:vertAlign w:val="superscript"/>
        </w:rPr>
        <w:t>th</w:t>
      </w:r>
      <w:r w:rsidR="002D3220">
        <w:rPr>
          <w:rFonts w:ascii="Arial" w:hAnsi="Arial" w:cs="Arial"/>
          <w:sz w:val="20"/>
          <w:szCs w:val="20"/>
        </w:rPr>
        <w:t xml:space="preserve"> of November.</w:t>
      </w:r>
    </w:p>
    <w:p w14:paraId="79F4CBB6" w14:textId="2B198FF5" w:rsidR="002D3220" w:rsidRDefault="002D322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McGuiness asked where the club was with outstanding fees.</w:t>
      </w:r>
    </w:p>
    <w:p w14:paraId="3C4A1D20" w14:textId="0493F033" w:rsidR="002D3220" w:rsidRPr="002009EA" w:rsidRDefault="002D322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Hogg Provided an overview of the current state of receiving fees and highlighted the there was an inability to identify current Senior State Cup eligibility of players.</w:t>
      </w:r>
    </w:p>
    <w:p w14:paraId="792C2298" w14:textId="77777777" w:rsidR="00442EF0" w:rsidRDefault="001C6E92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2D3220">
        <w:rPr>
          <w:rFonts w:ascii="Arial" w:hAnsi="Arial" w:cs="Arial"/>
          <w:sz w:val="20"/>
          <w:szCs w:val="20"/>
        </w:rPr>
        <w:t xml:space="preserve">The financial statements </w:t>
      </w:r>
      <w:r w:rsidR="00E223F4" w:rsidRPr="002D3220">
        <w:rPr>
          <w:rFonts w:ascii="Arial" w:hAnsi="Arial" w:cs="Arial"/>
          <w:sz w:val="20"/>
          <w:szCs w:val="20"/>
        </w:rPr>
        <w:t xml:space="preserve">of CTA were </w:t>
      </w:r>
      <w:r w:rsidR="002D3220" w:rsidRPr="002D3220">
        <w:rPr>
          <w:rFonts w:ascii="Arial" w:hAnsi="Arial" w:cs="Arial"/>
          <w:sz w:val="20"/>
          <w:szCs w:val="20"/>
        </w:rPr>
        <w:t xml:space="preserve">moved </w:t>
      </w:r>
      <w:r w:rsidR="00E223F4" w:rsidRPr="002D3220">
        <w:rPr>
          <w:rFonts w:ascii="Arial" w:hAnsi="Arial" w:cs="Arial"/>
          <w:sz w:val="20"/>
          <w:szCs w:val="20"/>
        </w:rPr>
        <w:t xml:space="preserve">by </w:t>
      </w:r>
      <w:r w:rsidR="002D3220" w:rsidRPr="002D3220">
        <w:rPr>
          <w:rFonts w:ascii="Arial" w:hAnsi="Arial" w:cs="Arial"/>
          <w:sz w:val="20"/>
          <w:szCs w:val="20"/>
        </w:rPr>
        <w:t xml:space="preserve">C Devereaux-Larkin </w:t>
      </w:r>
      <w:r w:rsidR="00E223F4" w:rsidRPr="002D3220">
        <w:rPr>
          <w:rFonts w:ascii="Arial" w:hAnsi="Arial" w:cs="Arial"/>
          <w:sz w:val="20"/>
          <w:szCs w:val="20"/>
        </w:rPr>
        <w:t xml:space="preserve">and seconded by </w:t>
      </w:r>
      <w:r w:rsidR="00442EF0">
        <w:rPr>
          <w:rFonts w:ascii="Arial" w:hAnsi="Arial" w:cs="Arial"/>
          <w:sz w:val="20"/>
          <w:szCs w:val="20"/>
        </w:rPr>
        <w:t>Shelley M</w:t>
      </w:r>
      <w:r w:rsidR="00442EF0" w:rsidRPr="00442EF0">
        <w:rPr>
          <w:rFonts w:ascii="Arial" w:hAnsi="Arial" w:cs="Arial"/>
          <w:sz w:val="20"/>
          <w:szCs w:val="20"/>
          <w:vertAlign w:val="superscript"/>
        </w:rPr>
        <w:t>C</w:t>
      </w:r>
      <w:r w:rsidR="00442EF0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442EF0">
        <w:rPr>
          <w:rFonts w:ascii="Arial" w:hAnsi="Arial" w:cs="Arial"/>
          <w:sz w:val="20"/>
          <w:szCs w:val="20"/>
        </w:rPr>
        <w:t>Clintock</w:t>
      </w:r>
      <w:r w:rsidR="00E223F4" w:rsidRPr="002D3220">
        <w:rPr>
          <w:rFonts w:ascii="Arial" w:hAnsi="Arial" w:cs="Arial"/>
          <w:sz w:val="20"/>
          <w:szCs w:val="20"/>
        </w:rPr>
        <w:t xml:space="preserve">. </w:t>
      </w:r>
    </w:p>
    <w:p w14:paraId="0A64AB02" w14:textId="64B19E5D" w:rsidR="00F556E9" w:rsidRPr="00F556E9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- </w:t>
      </w:r>
      <w:r w:rsidR="00E223F4" w:rsidRPr="002D3220">
        <w:rPr>
          <w:rFonts w:ascii="Arial" w:hAnsi="Arial" w:cs="Arial"/>
          <w:sz w:val="20"/>
          <w:szCs w:val="20"/>
        </w:rPr>
        <w:t>Carried.</w:t>
      </w:r>
    </w:p>
    <w:p w14:paraId="08F02C65" w14:textId="06A76D3A" w:rsidR="006F38AD" w:rsidRDefault="006F38AD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Resolution/s</w:t>
      </w:r>
    </w:p>
    <w:p w14:paraId="39EDD3B9" w14:textId="124A07E0" w:rsidR="00CB65D8" w:rsidRPr="00CB65D8" w:rsidRDefault="00CB65D8" w:rsidP="00CB65D8">
      <w:pPr>
        <w:ind w:left="357"/>
        <w:rPr>
          <w:rFonts w:ascii="Arial" w:hAnsi="Arial" w:cs="Arial"/>
          <w:sz w:val="20"/>
          <w:szCs w:val="20"/>
        </w:rPr>
      </w:pPr>
      <w:r w:rsidRPr="00CB65D8">
        <w:rPr>
          <w:rFonts w:ascii="Arial" w:hAnsi="Arial" w:cs="Arial"/>
          <w:sz w:val="20"/>
          <w:szCs w:val="20"/>
        </w:rPr>
        <w:t>Proposal of committee returning to Executive positions – President, Vice President, Secretary and Treasurer.</w:t>
      </w:r>
    </w:p>
    <w:p w14:paraId="20D93F11" w14:textId="0A5B6098" w:rsidR="00442EF0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Finch read out the Special Resolution.</w:t>
      </w:r>
    </w:p>
    <w:p w14:paraId="70D3E6B5" w14:textId="54406ADC" w:rsidR="00442EF0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by H Kerr</w:t>
      </w:r>
    </w:p>
    <w:p w14:paraId="151435B6" w14:textId="61CD211F" w:rsidR="00442EF0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 T MC Clintock</w:t>
      </w:r>
    </w:p>
    <w:p w14:paraId="6829CFA5" w14:textId="1320F254" w:rsidR="00442EF0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2D3220">
        <w:rPr>
          <w:rFonts w:ascii="Arial" w:hAnsi="Arial" w:cs="Arial"/>
          <w:sz w:val="20"/>
          <w:szCs w:val="20"/>
        </w:rPr>
        <w:t>C Devereaux-Larkin</w:t>
      </w:r>
      <w:r>
        <w:rPr>
          <w:rFonts w:ascii="Arial" w:hAnsi="Arial" w:cs="Arial"/>
          <w:sz w:val="20"/>
          <w:szCs w:val="20"/>
        </w:rPr>
        <w:t xml:space="preserve"> provided members with an overview that there will be eight (8) voting positions down to four (4) positions.</w:t>
      </w:r>
    </w:p>
    <w:p w14:paraId="1BBD320F" w14:textId="7726C0B3" w:rsidR="00442EF0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Finch raised conflict of interest, identifying that all positions on the Management Committee are Executive positions. Identifying CSC auditors use a risk management strategy and eliminate family members from being on the same Committee.</w:t>
      </w:r>
    </w:p>
    <w:p w14:paraId="4BC1281B" w14:textId="718DF02C" w:rsidR="00442EF0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Kerr clarified that every member at a </w:t>
      </w:r>
      <w:r w:rsidR="00E47D96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 meeting gets a vote and that Executive votes are used for flying minutes.</w:t>
      </w:r>
    </w:p>
    <w:p w14:paraId="65468C70" w14:textId="097A14EB" w:rsidR="00442EF0" w:rsidRDefault="00442EF0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discussion </w:t>
      </w:r>
      <w:r w:rsidR="006E22EA">
        <w:rPr>
          <w:rFonts w:ascii="Arial" w:hAnsi="Arial" w:cs="Arial"/>
          <w:sz w:val="20"/>
          <w:szCs w:val="20"/>
        </w:rPr>
        <w:t>by members occurred.</w:t>
      </w:r>
    </w:p>
    <w:p w14:paraId="3B4786EF" w14:textId="6F2940C9" w:rsidR="006E22EA" w:rsidRDefault="006E22EA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Kerr identified the need to come </w:t>
      </w:r>
      <w:r w:rsidR="00E47D96">
        <w:rPr>
          <w:rFonts w:ascii="Arial" w:hAnsi="Arial" w:cs="Arial"/>
          <w:sz w:val="20"/>
          <w:szCs w:val="20"/>
        </w:rPr>
        <w:t>in line</w:t>
      </w:r>
      <w:r>
        <w:rPr>
          <w:rFonts w:ascii="Arial" w:hAnsi="Arial" w:cs="Arial"/>
          <w:sz w:val="20"/>
          <w:szCs w:val="20"/>
        </w:rPr>
        <w:t xml:space="preserve"> with other foundation clubs and return back to how our </w:t>
      </w:r>
      <w:r w:rsidR="00E47D96">
        <w:rPr>
          <w:rFonts w:ascii="Arial" w:hAnsi="Arial" w:cs="Arial"/>
          <w:sz w:val="20"/>
          <w:szCs w:val="20"/>
        </w:rPr>
        <w:t>committee</w:t>
      </w:r>
      <w:r>
        <w:rPr>
          <w:rFonts w:ascii="Arial" w:hAnsi="Arial" w:cs="Arial"/>
          <w:sz w:val="20"/>
          <w:szCs w:val="20"/>
        </w:rPr>
        <w:t xml:space="preserve"> operated before. </w:t>
      </w:r>
    </w:p>
    <w:p w14:paraId="17537C78" w14:textId="747B3D45" w:rsidR="006E22EA" w:rsidRDefault="006E22EA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Kerr acknowledged that the </w:t>
      </w:r>
      <w:r w:rsidR="006120DC">
        <w:rPr>
          <w:rFonts w:ascii="Arial" w:hAnsi="Arial" w:cs="Arial"/>
          <w:sz w:val="20"/>
          <w:szCs w:val="20"/>
        </w:rPr>
        <w:t>resolution is unclear and described the process of email endorsement.</w:t>
      </w:r>
    </w:p>
    <w:p w14:paraId="5A790925" w14:textId="22C5043D" w:rsidR="006120DC" w:rsidRDefault="006120DC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 De Rossi asked what </w:t>
      </w:r>
      <w:r w:rsidR="00E47D96">
        <w:rPr>
          <w:rFonts w:ascii="Arial" w:hAnsi="Arial" w:cs="Arial"/>
          <w:sz w:val="20"/>
          <w:szCs w:val="20"/>
        </w:rPr>
        <w:t>the specific issues were</w:t>
      </w:r>
      <w:r>
        <w:rPr>
          <w:rFonts w:ascii="Arial" w:hAnsi="Arial" w:cs="Arial"/>
          <w:sz w:val="20"/>
          <w:szCs w:val="20"/>
        </w:rPr>
        <w:t>.</w:t>
      </w:r>
    </w:p>
    <w:p w14:paraId="612EF796" w14:textId="75C44077" w:rsidR="006120DC" w:rsidRDefault="006120DC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 Kerr identified human resource issues and </w:t>
      </w:r>
      <w:r w:rsidR="00BA5B02">
        <w:rPr>
          <w:rFonts w:ascii="Arial" w:hAnsi="Arial" w:cs="Arial"/>
          <w:sz w:val="20"/>
          <w:szCs w:val="20"/>
        </w:rPr>
        <w:t>difficulty for endorsing flying emergency minutes.</w:t>
      </w:r>
    </w:p>
    <w:p w14:paraId="221742BA" w14:textId="39D58E4D" w:rsidR="00BA5B02" w:rsidRDefault="00BA5B02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 McGuiness identified need for privacy and confidentiality of staff and explained the importance of the Executive structure. </w:t>
      </w:r>
    </w:p>
    <w:p w14:paraId="12907C87" w14:textId="3060A89A" w:rsidR="00BA5B02" w:rsidRDefault="00BA5B02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Hogg raised concerns of the Pathways Manager who was not on the Committee at that stage.</w:t>
      </w:r>
    </w:p>
    <w:p w14:paraId="7B355E7E" w14:textId="257CC788" w:rsidR="00BA5B02" w:rsidRDefault="00BA5B02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2D3220">
        <w:rPr>
          <w:rFonts w:ascii="Arial" w:hAnsi="Arial" w:cs="Arial"/>
          <w:sz w:val="20"/>
          <w:szCs w:val="20"/>
        </w:rPr>
        <w:t>C Devereaux-Larkin</w:t>
      </w:r>
      <w:r>
        <w:rPr>
          <w:rFonts w:ascii="Arial" w:hAnsi="Arial" w:cs="Arial"/>
          <w:sz w:val="20"/>
          <w:szCs w:val="20"/>
        </w:rPr>
        <w:t xml:space="preserve"> identified the need for all financial decisions to be made by the full Committee and confidential information be managed by the Executive positions.</w:t>
      </w:r>
    </w:p>
    <w:p w14:paraId="4C952D3F" w14:textId="77777777" w:rsidR="00C258BC" w:rsidRDefault="00BA5B02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of Resolution</w:t>
      </w:r>
    </w:p>
    <w:p w14:paraId="11F5A0CF" w14:textId="77777777" w:rsidR="00C258BC" w:rsidRPr="00CB65D8" w:rsidRDefault="00C258BC" w:rsidP="00C258BC">
      <w:pPr>
        <w:ind w:left="357"/>
        <w:rPr>
          <w:rFonts w:ascii="Arial" w:hAnsi="Arial" w:cs="Arial"/>
          <w:sz w:val="20"/>
          <w:szCs w:val="20"/>
        </w:rPr>
      </w:pPr>
      <w:r w:rsidRPr="00CB65D8">
        <w:rPr>
          <w:rFonts w:ascii="Arial" w:hAnsi="Arial" w:cs="Arial"/>
          <w:sz w:val="20"/>
          <w:szCs w:val="20"/>
        </w:rPr>
        <w:t>Proposal of committee returning to Executive positions – President, Vice President, Secretary and Treasurer, as per pre 2021 structure. Executive positions are able to vote and pass confidential, employee and flying minute recommendations – with the exception of financial expenditure outside of delegation - which are required to be passed by majority vote of the full committee.</w:t>
      </w:r>
    </w:p>
    <w:p w14:paraId="56037D11" w14:textId="6DC7378E" w:rsidR="004B6E08" w:rsidRPr="00C258BC" w:rsidRDefault="004B6E08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C258BC">
        <w:rPr>
          <w:rFonts w:ascii="Arial" w:hAnsi="Arial" w:cs="Arial"/>
          <w:sz w:val="20"/>
          <w:szCs w:val="20"/>
        </w:rPr>
        <w:t xml:space="preserve">A Smith re-drafted the Special Resolution to reflect “As per pre-2021 </w:t>
      </w:r>
      <w:r w:rsidR="00E47D96" w:rsidRPr="00C258BC">
        <w:rPr>
          <w:rFonts w:ascii="Arial" w:hAnsi="Arial" w:cs="Arial"/>
          <w:sz w:val="20"/>
          <w:szCs w:val="20"/>
        </w:rPr>
        <w:t>structure”.</w:t>
      </w:r>
    </w:p>
    <w:p w14:paraId="77530C65" w14:textId="06F35E37" w:rsidR="004B6E08" w:rsidRPr="00C258BC" w:rsidRDefault="004B6E08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C258BC">
        <w:rPr>
          <w:rFonts w:ascii="Arial" w:hAnsi="Arial" w:cs="Arial"/>
          <w:sz w:val="20"/>
          <w:szCs w:val="20"/>
        </w:rPr>
        <w:tab/>
        <w:t>Amended: A Smith</w:t>
      </w:r>
    </w:p>
    <w:p w14:paraId="275C5A2B" w14:textId="41721B6D" w:rsidR="004B6E08" w:rsidRPr="00C258BC" w:rsidRDefault="004B6E08" w:rsidP="00442EF0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C258BC">
        <w:rPr>
          <w:rFonts w:ascii="Arial" w:hAnsi="Arial" w:cs="Arial"/>
          <w:sz w:val="20"/>
          <w:szCs w:val="20"/>
        </w:rPr>
        <w:tab/>
        <w:t>Seconded: D McGuiness</w:t>
      </w:r>
    </w:p>
    <w:p w14:paraId="67CF5FCC" w14:textId="01DEA4A0" w:rsidR="004B6E08" w:rsidRPr="00C258BC" w:rsidRDefault="004B6E08" w:rsidP="004B6E08">
      <w:pPr>
        <w:pStyle w:val="ListParagraph"/>
        <w:spacing w:before="120" w:after="120" w:line="264" w:lineRule="auto"/>
        <w:ind w:left="357" w:firstLine="363"/>
        <w:contextualSpacing w:val="0"/>
        <w:rPr>
          <w:rFonts w:ascii="Arial" w:hAnsi="Arial" w:cs="Arial"/>
          <w:sz w:val="20"/>
          <w:szCs w:val="20"/>
        </w:rPr>
      </w:pPr>
      <w:r w:rsidRPr="00C258BC">
        <w:rPr>
          <w:rFonts w:ascii="Arial" w:hAnsi="Arial" w:cs="Arial"/>
          <w:sz w:val="20"/>
          <w:szCs w:val="20"/>
        </w:rPr>
        <w:t xml:space="preserve">Action – Unanimously passed by </w:t>
      </w:r>
      <w:r w:rsidR="00E47D96" w:rsidRPr="00C258BC">
        <w:rPr>
          <w:rFonts w:ascii="Arial" w:hAnsi="Arial" w:cs="Arial"/>
          <w:sz w:val="20"/>
          <w:szCs w:val="20"/>
        </w:rPr>
        <w:t>members.</w:t>
      </w:r>
    </w:p>
    <w:p w14:paraId="6A7AF70D" w14:textId="1457D76D" w:rsidR="00F556E9" w:rsidRPr="009D101D" w:rsidRDefault="00F556E9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9D101D">
        <w:rPr>
          <w:rFonts w:ascii="Arial" w:hAnsi="Arial" w:cs="Arial"/>
          <w:b/>
          <w:bCs/>
          <w:sz w:val="20"/>
          <w:szCs w:val="20"/>
        </w:rPr>
        <w:t>Election of CTA Management Committee</w:t>
      </w:r>
    </w:p>
    <w:p w14:paraId="6F32C775" w14:textId="3D136B50" w:rsidR="00EC7E36" w:rsidRDefault="00BA5B02" w:rsidP="00BA5B02">
      <w:pPr>
        <w:pStyle w:val="ListParagraph"/>
        <w:tabs>
          <w:tab w:val="left" w:pos="1635"/>
        </w:tabs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BA5B02">
        <w:rPr>
          <w:rFonts w:ascii="Arial" w:hAnsi="Arial" w:cs="Arial"/>
          <w:sz w:val="20"/>
          <w:szCs w:val="20"/>
        </w:rPr>
        <w:t>D Finch</w:t>
      </w:r>
      <w:r w:rsidR="00EC7E36" w:rsidRPr="00BA5B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identified that there were nine (9) Management Committee positions.</w:t>
      </w:r>
    </w:p>
    <w:p w14:paraId="73C0FB70" w14:textId="35990BAC" w:rsidR="0091407A" w:rsidRPr="00EC7E36" w:rsidRDefault="00BA5B02" w:rsidP="0091407A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 </w:t>
      </w:r>
      <w:r w:rsidR="0091407A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>Treasurer:</w:t>
      </w:r>
      <w:r w:rsidR="0091407A">
        <w:rPr>
          <w:rFonts w:ascii="Arial" w:hAnsi="Arial" w:cs="Arial"/>
          <w:sz w:val="20"/>
          <w:szCs w:val="20"/>
        </w:rPr>
        <w:t xml:space="preserve"> Mark Henricksen</w:t>
      </w:r>
    </w:p>
    <w:p w14:paraId="40CA2104" w14:textId="14F52D83" w:rsidR="00BA5B02" w:rsidRDefault="0091407A" w:rsidP="0091407A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by D McGuiness</w:t>
      </w:r>
    </w:p>
    <w:p w14:paraId="5083007F" w14:textId="6C91AA69" w:rsidR="00BA5B02" w:rsidRDefault="0091407A" w:rsidP="00BA5B02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H Kerr</w:t>
      </w:r>
    </w:p>
    <w:p w14:paraId="560E1CC4" w14:textId="3DC4C52B" w:rsidR="0091407A" w:rsidRDefault="0091407A" w:rsidP="00BA5B02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 – Duly </w:t>
      </w:r>
      <w:r w:rsidR="00E47D96">
        <w:rPr>
          <w:rFonts w:ascii="Arial" w:hAnsi="Arial" w:cs="Arial"/>
          <w:sz w:val="20"/>
          <w:szCs w:val="20"/>
        </w:rPr>
        <w:t>elected.</w:t>
      </w:r>
    </w:p>
    <w:p w14:paraId="15F91612" w14:textId="3987147B" w:rsidR="0091407A" w:rsidRDefault="0091407A" w:rsidP="0091407A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for Members Representative: Joshua Perham</w:t>
      </w:r>
    </w:p>
    <w:p w14:paraId="6A19A494" w14:textId="0C923C95" w:rsidR="0091407A" w:rsidRDefault="0091407A" w:rsidP="0091407A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Duly </w:t>
      </w:r>
      <w:r w:rsidR="00E47D96">
        <w:rPr>
          <w:rFonts w:ascii="Arial" w:hAnsi="Arial" w:cs="Arial"/>
          <w:sz w:val="20"/>
          <w:szCs w:val="20"/>
        </w:rPr>
        <w:t>elected.</w:t>
      </w:r>
    </w:p>
    <w:p w14:paraId="0A0F3353" w14:textId="54F8AC19" w:rsidR="0091407A" w:rsidRDefault="0091407A" w:rsidP="0091407A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for Referee Director: Anthony Smith</w:t>
      </w:r>
    </w:p>
    <w:p w14:paraId="69F76AB1" w14:textId="7CCDF0D7" w:rsidR="0091407A" w:rsidRDefault="0091407A" w:rsidP="0091407A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Duly </w:t>
      </w:r>
      <w:r w:rsidR="00E47D96">
        <w:rPr>
          <w:rFonts w:ascii="Arial" w:hAnsi="Arial" w:cs="Arial"/>
          <w:sz w:val="20"/>
          <w:szCs w:val="20"/>
        </w:rPr>
        <w:t>elected.</w:t>
      </w:r>
    </w:p>
    <w:p w14:paraId="0A7262DB" w14:textId="4143A0C4" w:rsidR="0091407A" w:rsidRDefault="0091407A" w:rsidP="0091407A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for Junior Co-ordinator: Kate Cross</w:t>
      </w:r>
    </w:p>
    <w:p w14:paraId="4647F5B5" w14:textId="1F51D20C" w:rsidR="0091407A" w:rsidRDefault="0091407A" w:rsidP="0091407A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Duly </w:t>
      </w:r>
      <w:r w:rsidR="00E47D96">
        <w:rPr>
          <w:rFonts w:ascii="Arial" w:hAnsi="Arial" w:cs="Arial"/>
          <w:sz w:val="20"/>
          <w:szCs w:val="20"/>
        </w:rPr>
        <w:t>elected.</w:t>
      </w:r>
    </w:p>
    <w:p w14:paraId="4844D5FB" w14:textId="65E8566A" w:rsidR="0091407A" w:rsidRDefault="0091407A" w:rsidP="0091407A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for Diversity and Inclusiveness Representative: Michelle Goding</w:t>
      </w:r>
    </w:p>
    <w:p w14:paraId="4246DA60" w14:textId="01545C49" w:rsidR="0091407A" w:rsidRDefault="0091407A" w:rsidP="0091407A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Duly </w:t>
      </w:r>
      <w:r w:rsidR="00E47D96">
        <w:rPr>
          <w:rFonts w:ascii="Arial" w:hAnsi="Arial" w:cs="Arial"/>
          <w:sz w:val="20"/>
          <w:szCs w:val="20"/>
        </w:rPr>
        <w:t>elected.</w:t>
      </w:r>
    </w:p>
    <w:p w14:paraId="6E4A8F44" w14:textId="09764DA2" w:rsidR="0091407A" w:rsidRDefault="0091407A" w:rsidP="0091407A">
      <w:pPr>
        <w:pStyle w:val="ListParagraph"/>
        <w:numPr>
          <w:ilvl w:val="0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Nomination for Secretary: Kath Lawrence</w:t>
      </w:r>
    </w:p>
    <w:p w14:paraId="21F32FDF" w14:textId="0303776B" w:rsidR="0091407A" w:rsidRDefault="0091407A" w:rsidP="0091407A">
      <w:pPr>
        <w:pStyle w:val="ListParagraph"/>
        <w:numPr>
          <w:ilvl w:val="1"/>
          <w:numId w:val="4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Duly </w:t>
      </w:r>
      <w:r w:rsidR="00E47D96">
        <w:rPr>
          <w:rFonts w:ascii="Arial" w:hAnsi="Arial" w:cs="Arial"/>
          <w:sz w:val="20"/>
          <w:szCs w:val="20"/>
        </w:rPr>
        <w:t>elected.</w:t>
      </w:r>
    </w:p>
    <w:p w14:paraId="1716CD27" w14:textId="7477C4EC" w:rsidR="0091407A" w:rsidRDefault="0091407A" w:rsidP="0091407A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Stephenson thanked all 2022 Committee members</w:t>
      </w:r>
    </w:p>
    <w:p w14:paraId="3F7750C9" w14:textId="246AA6ED" w:rsidR="004B6E08" w:rsidRDefault="004B6E08" w:rsidP="0091407A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Finch thanked members stepping down, S Hogg, K Kerr and S Brand and identified that it is important to keep good people involved.</w:t>
      </w:r>
    </w:p>
    <w:p w14:paraId="5614182B" w14:textId="21321AEF" w:rsidR="004B6E08" w:rsidRDefault="004B6E08" w:rsidP="0091407A">
      <w:pPr>
        <w:pStyle w:val="ListParagraph"/>
        <w:spacing w:before="120" w:after="12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Finch identified a last item of business involving D McGuiness and his nomination as a Life Member</w:t>
      </w:r>
    </w:p>
    <w:p w14:paraId="26765001" w14:textId="74DD33A6" w:rsidR="004B6E08" w:rsidRDefault="004B6E08" w:rsidP="004B6E08">
      <w:pPr>
        <w:pStyle w:val="ListParagraph"/>
        <w:numPr>
          <w:ilvl w:val="0"/>
          <w:numId w:val="6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by A Smith</w:t>
      </w:r>
    </w:p>
    <w:p w14:paraId="317A1A60" w14:textId="5D54C22A" w:rsidR="004B6E08" w:rsidRDefault="004B6E08" w:rsidP="004B6E08">
      <w:pPr>
        <w:pStyle w:val="ListParagraph"/>
        <w:numPr>
          <w:ilvl w:val="0"/>
          <w:numId w:val="6"/>
        </w:numPr>
        <w:spacing w:before="120" w:after="120" w:line="264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Seconded by H Kerr</w:t>
      </w:r>
    </w:p>
    <w:p w14:paraId="63153F0F" w14:textId="4E88F657" w:rsidR="004B6E08" w:rsidRDefault="004B6E08" w:rsidP="004B6E08">
      <w:pPr>
        <w:spacing w:before="120" w:after="120" w:line="264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McGuiness provided words of thanks for the nomination</w:t>
      </w:r>
    </w:p>
    <w:p w14:paraId="6DFE3602" w14:textId="28962D6E" w:rsidR="004B6E08" w:rsidRDefault="004B6E08" w:rsidP="004B6E08">
      <w:pPr>
        <w:spacing w:before="120" w:after="120" w:line="264" w:lineRule="auto"/>
        <w:ind w:left="357"/>
        <w:rPr>
          <w:rFonts w:ascii="Arial" w:hAnsi="Arial" w:cs="Arial"/>
          <w:sz w:val="20"/>
          <w:szCs w:val="20"/>
        </w:rPr>
      </w:pPr>
      <w:r w:rsidRPr="002D3220">
        <w:rPr>
          <w:rFonts w:ascii="Arial" w:hAnsi="Arial" w:cs="Arial"/>
          <w:sz w:val="20"/>
          <w:szCs w:val="20"/>
        </w:rPr>
        <w:t>C Devereaux-Larkin</w:t>
      </w:r>
      <w:r>
        <w:rPr>
          <w:rFonts w:ascii="Arial" w:hAnsi="Arial" w:cs="Arial"/>
          <w:sz w:val="20"/>
          <w:szCs w:val="20"/>
        </w:rPr>
        <w:t xml:space="preserve"> raised a general question of D McGuiness on the Board</w:t>
      </w:r>
    </w:p>
    <w:p w14:paraId="1B4C916C" w14:textId="73A9D016" w:rsidR="004B6E08" w:rsidRDefault="004B6E08" w:rsidP="004B6E08">
      <w:pPr>
        <w:spacing w:before="120" w:after="120" w:line="264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Stephenson identified that his position was not up for election</w:t>
      </w:r>
    </w:p>
    <w:p w14:paraId="3A03FDB9" w14:textId="7C1E120D" w:rsidR="004B6E08" w:rsidRPr="004B6E08" w:rsidRDefault="004B6E08" w:rsidP="004B6E08">
      <w:pPr>
        <w:spacing w:before="120" w:after="120" w:line="264" w:lineRule="auto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McGuiness provided overview and identified current term of 3 years.</w:t>
      </w:r>
    </w:p>
    <w:p w14:paraId="68AB70A9" w14:textId="0473A8A1" w:rsidR="00F556E9" w:rsidRPr="006F38AD" w:rsidRDefault="00F556E9" w:rsidP="00AE2688">
      <w:pPr>
        <w:pStyle w:val="ListParagraph"/>
        <w:numPr>
          <w:ilvl w:val="0"/>
          <w:numId w:val="2"/>
        </w:numPr>
        <w:spacing w:before="120" w:after="240" w:line="264" w:lineRule="auto"/>
        <w:ind w:left="357"/>
        <w:contextualSpacing w:val="0"/>
        <w:rPr>
          <w:rFonts w:ascii="Arial" w:hAnsi="Arial" w:cs="Arial"/>
          <w:b/>
          <w:bCs/>
          <w:sz w:val="20"/>
          <w:szCs w:val="20"/>
        </w:rPr>
      </w:pPr>
      <w:r w:rsidRPr="006F38AD">
        <w:rPr>
          <w:rFonts w:ascii="Arial" w:hAnsi="Arial" w:cs="Arial"/>
          <w:b/>
          <w:bCs/>
          <w:sz w:val="20"/>
          <w:szCs w:val="20"/>
        </w:rPr>
        <w:t>Meeting closed</w:t>
      </w:r>
    </w:p>
    <w:p w14:paraId="2A64D144" w14:textId="6BA239C6" w:rsidR="00F556E9" w:rsidRPr="00F556E9" w:rsidRDefault="004B6E08" w:rsidP="00E223F4">
      <w:pPr>
        <w:pStyle w:val="ListParagraph"/>
        <w:spacing w:before="120" w:after="240" w:line="264" w:lineRule="auto"/>
        <w:ind w:left="357"/>
        <w:contextualSpacing w:val="0"/>
        <w:rPr>
          <w:rFonts w:ascii="Arial" w:hAnsi="Arial" w:cs="Arial"/>
          <w:sz w:val="20"/>
          <w:szCs w:val="20"/>
        </w:rPr>
      </w:pPr>
      <w:r w:rsidRPr="004B6E08">
        <w:rPr>
          <w:rFonts w:ascii="Arial" w:hAnsi="Arial" w:cs="Arial"/>
          <w:sz w:val="20"/>
          <w:szCs w:val="20"/>
        </w:rPr>
        <w:t>D Finch</w:t>
      </w:r>
      <w:r w:rsidR="001B0137" w:rsidRPr="004B6E08">
        <w:rPr>
          <w:rFonts w:ascii="Arial" w:hAnsi="Arial" w:cs="Arial"/>
          <w:sz w:val="20"/>
          <w:szCs w:val="20"/>
        </w:rPr>
        <w:t xml:space="preserve"> closed the meeting at </w:t>
      </w:r>
      <w:r>
        <w:rPr>
          <w:rFonts w:ascii="Arial" w:hAnsi="Arial" w:cs="Arial"/>
          <w:sz w:val="20"/>
          <w:szCs w:val="20"/>
        </w:rPr>
        <w:t>7</w:t>
      </w:r>
      <w:r w:rsidR="001B0137" w:rsidRPr="004B6E0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58</w:t>
      </w:r>
      <w:r w:rsidR="001B0137" w:rsidRPr="004B6E08">
        <w:rPr>
          <w:rFonts w:ascii="Arial" w:hAnsi="Arial" w:cs="Arial"/>
          <w:sz w:val="20"/>
          <w:szCs w:val="20"/>
        </w:rPr>
        <w:t xml:space="preserve"> pm.</w:t>
      </w:r>
    </w:p>
    <w:sectPr w:rsidR="00F556E9" w:rsidRPr="00F556E9" w:rsidSect="00152BFE">
      <w:headerReference w:type="default" r:id="rId7"/>
      <w:footerReference w:type="default" r:id="rId8"/>
      <w:pgSz w:w="11906" w:h="16838"/>
      <w:pgMar w:top="1440" w:right="1440" w:bottom="1440" w:left="1440" w:header="426" w:footer="9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F610" w14:textId="77777777" w:rsidR="006F13F0" w:rsidRDefault="006F13F0" w:rsidP="00876687">
      <w:pPr>
        <w:spacing w:after="0" w:line="240" w:lineRule="auto"/>
      </w:pPr>
      <w:r>
        <w:separator/>
      </w:r>
    </w:p>
  </w:endnote>
  <w:endnote w:type="continuationSeparator" w:id="0">
    <w:p w14:paraId="6343F84A" w14:textId="77777777" w:rsidR="006F13F0" w:rsidRDefault="006F13F0" w:rsidP="008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1A7F" w14:textId="77777777" w:rsidR="00B6362C" w:rsidRPr="00B6362C" w:rsidRDefault="00B6362C">
    <w:pPr>
      <w:pStyle w:val="Footer"/>
      <w:rPr>
        <w:rFonts w:ascii="Arial" w:hAnsi="Arial" w:cs="Arial"/>
        <w:sz w:val="8"/>
        <w:szCs w:val="8"/>
      </w:rPr>
    </w:pPr>
  </w:p>
  <w:tbl>
    <w:tblPr>
      <w:tblStyle w:val="TableGrid"/>
      <w:tblW w:w="10779" w:type="dxa"/>
      <w:tblInd w:w="-993" w:type="dxa"/>
      <w:tblLayout w:type="fixed"/>
      <w:tblLook w:val="04A0" w:firstRow="1" w:lastRow="0" w:firstColumn="1" w:lastColumn="0" w:noHBand="0" w:noVBand="1"/>
    </w:tblPr>
    <w:tblGrid>
      <w:gridCol w:w="2269"/>
      <w:gridCol w:w="1702"/>
      <w:gridCol w:w="1702"/>
      <w:gridCol w:w="1702"/>
      <w:gridCol w:w="1702"/>
      <w:gridCol w:w="1702"/>
    </w:tblGrid>
    <w:tr w:rsidR="00BA35AF" w:rsidRPr="008A54BC" w14:paraId="5BACCABD" w14:textId="77777777" w:rsidTr="00BA35AF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14:paraId="56837616" w14:textId="77777777" w:rsidR="00C447E0" w:rsidRPr="008A54BC" w:rsidRDefault="00C447E0" w:rsidP="00C447E0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510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0C56093B" w14:textId="0FC84667" w:rsidR="00C447E0" w:rsidRPr="008A54BC" w:rsidRDefault="00C447E0" w:rsidP="00C447E0">
          <w:pPr>
            <w:pStyle w:val="Footer"/>
            <w:spacing w:before="120" w:after="120"/>
            <w:jc w:val="center"/>
            <w:rPr>
              <w:rFonts w:ascii="Arial" w:hAnsi="Arial" w:cs="Arial"/>
              <w:sz w:val="18"/>
              <w:szCs w:val="18"/>
            </w:rPr>
          </w:pPr>
          <w:r w:rsidRPr="008A54BC">
            <w:rPr>
              <w:rFonts w:ascii="Arial" w:hAnsi="Arial" w:cs="Arial"/>
              <w:sz w:val="18"/>
              <w:szCs w:val="18"/>
            </w:rPr>
            <w:t xml:space="preserve">Foundation </w:t>
          </w:r>
          <w:r>
            <w:rPr>
              <w:rFonts w:ascii="Arial" w:hAnsi="Arial" w:cs="Arial"/>
              <w:sz w:val="18"/>
              <w:szCs w:val="18"/>
            </w:rPr>
            <w:t>Sub</w:t>
          </w:r>
          <w:r w:rsidR="00957CF1">
            <w:rPr>
              <w:rFonts w:ascii="Arial" w:hAnsi="Arial" w:cs="Arial"/>
              <w:sz w:val="18"/>
              <w:szCs w:val="18"/>
            </w:rPr>
            <w:t>-</w:t>
          </w:r>
          <w:r w:rsidRPr="008A54BC">
            <w:rPr>
              <w:rFonts w:ascii="Arial" w:hAnsi="Arial" w:cs="Arial"/>
              <w:sz w:val="18"/>
              <w:szCs w:val="18"/>
            </w:rPr>
            <w:t>Clubs</w:t>
          </w:r>
          <w:r>
            <w:rPr>
              <w:rFonts w:ascii="Arial" w:hAnsi="Arial" w:cs="Arial"/>
              <w:sz w:val="18"/>
              <w:szCs w:val="18"/>
            </w:rPr>
            <w:t xml:space="preserve"> of Caboolture Sports Club</w:t>
          </w:r>
        </w:p>
      </w:tc>
    </w:tr>
    <w:tr w:rsidR="007A05B8" w:rsidRPr="008A54BC" w14:paraId="3D8C9536" w14:textId="77777777" w:rsidTr="00BA35AF">
      <w:tc>
        <w:tcPr>
          <w:tcW w:w="226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0EEA983E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5451514" wp14:editId="4BD47D73">
                <wp:extent cx="1011201" cy="466725"/>
                <wp:effectExtent l="0" t="0" r="0" b="0"/>
                <wp:docPr id="77" name="Picture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456" cy="468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</w:tcPr>
        <w:p w14:paraId="58DF455C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99BE5E8" wp14:editId="1CCFF6FC">
                <wp:extent cx="1021409" cy="576000"/>
                <wp:effectExtent l="0" t="0" r="7620" b="0"/>
                <wp:docPr id="78" name="Picture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74B52A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142E521" wp14:editId="2E5D1D0C">
                <wp:extent cx="1021410" cy="576000"/>
                <wp:effectExtent l="0" t="0" r="7620" b="0"/>
                <wp:docPr id="79" name="Picture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56BE77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5302B27" wp14:editId="63F4502E">
                <wp:extent cx="1021410" cy="576000"/>
                <wp:effectExtent l="0" t="0" r="7620" b="0"/>
                <wp:docPr id="80" name="Picture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AD5832B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2EB4ECD3" wp14:editId="6DEE14A5">
                <wp:extent cx="1021411" cy="576000"/>
                <wp:effectExtent l="0" t="0" r="7620" b="0"/>
                <wp:docPr id="81" name="Picture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15DB59" w14:textId="77777777" w:rsidR="00C447E0" w:rsidRPr="008A54BC" w:rsidRDefault="00C447E0" w:rsidP="00C447E0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19AEE68" wp14:editId="0FB8FE5A">
                <wp:extent cx="1021407" cy="576000"/>
                <wp:effectExtent l="0" t="0" r="7620" b="0"/>
                <wp:docPr id="82" name="Picture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A35AF" w:rsidRPr="008A54BC" w14:paraId="45FFC66C" w14:textId="77777777" w:rsidTr="00BA35AF">
      <w:tc>
        <w:tcPr>
          <w:tcW w:w="22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2595B4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0ED1859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2CBCEC5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C83D80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EC1A90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FC3CF97" w14:textId="77777777" w:rsidR="00BA35AF" w:rsidRDefault="00BA35AF" w:rsidP="00C447E0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</w:tr>
  </w:tbl>
  <w:p w14:paraId="6E075BCB" w14:textId="77777777" w:rsidR="00C447E0" w:rsidRPr="00BA35AF" w:rsidRDefault="00C447E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AA9B" w14:textId="77777777" w:rsidR="006F13F0" w:rsidRDefault="006F13F0" w:rsidP="00876687">
      <w:pPr>
        <w:spacing w:after="0" w:line="240" w:lineRule="auto"/>
      </w:pPr>
      <w:r>
        <w:separator/>
      </w:r>
    </w:p>
  </w:footnote>
  <w:footnote w:type="continuationSeparator" w:id="0">
    <w:p w14:paraId="41BF5726" w14:textId="77777777" w:rsidR="006F13F0" w:rsidRDefault="006F13F0" w:rsidP="008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3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685"/>
    </w:tblGrid>
    <w:tr w:rsidR="00722CF1" w14:paraId="497BF2FD" w14:textId="77777777" w:rsidTr="00722CF1">
      <w:tc>
        <w:tcPr>
          <w:tcW w:w="6238" w:type="dxa"/>
        </w:tcPr>
        <w:p w14:paraId="5809FDAF" w14:textId="77777777" w:rsidR="00722CF1" w:rsidRDefault="00722CF1" w:rsidP="00722CF1">
          <w:pPr>
            <w:pStyle w:val="Header"/>
          </w:pPr>
        </w:p>
        <w:p w14:paraId="0B33B87B" w14:textId="4B7B4CDD" w:rsidR="00722CF1" w:rsidRDefault="00722CF1" w:rsidP="00722CF1">
          <w:pPr>
            <w:pStyle w:val="Header"/>
          </w:pPr>
        </w:p>
        <w:p w14:paraId="54408F67" w14:textId="4BCA4972" w:rsidR="00722CF1" w:rsidRDefault="00722CF1" w:rsidP="00722CF1">
          <w:pPr>
            <w:pStyle w:val="Header"/>
          </w:pPr>
        </w:p>
        <w:p w14:paraId="2A706AE4" w14:textId="77777777" w:rsidR="00722CF1" w:rsidRDefault="00722CF1" w:rsidP="00722CF1">
          <w:pPr>
            <w:pStyle w:val="Header"/>
          </w:pPr>
        </w:p>
        <w:p w14:paraId="0C08DC25" w14:textId="528D8FBA" w:rsidR="00722CF1" w:rsidRPr="00765AC1" w:rsidRDefault="00722CF1" w:rsidP="00722CF1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22CF1">
            <w:rPr>
              <w:rFonts w:ascii="Arial" w:hAnsi="Arial" w:cs="Arial"/>
              <w:sz w:val="36"/>
              <w:szCs w:val="36"/>
            </w:rPr>
            <w:t>Caboolture Touch Association</w:t>
          </w:r>
        </w:p>
      </w:tc>
      <w:tc>
        <w:tcPr>
          <w:tcW w:w="3685" w:type="dxa"/>
          <w:vAlign w:val="center"/>
        </w:tcPr>
        <w:p w14:paraId="4AF238DA" w14:textId="0816FFCB" w:rsidR="00722CF1" w:rsidRDefault="00722CF1" w:rsidP="00722CF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55FC464" wp14:editId="75FE32A0">
                <wp:extent cx="823163" cy="1009650"/>
                <wp:effectExtent l="0" t="0" r="0" b="0"/>
                <wp:docPr id="76" name="Picture 76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" name="Picture 54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3901" cy="1022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0F7E98" w14:textId="784C2875" w:rsidR="00722CF1" w:rsidRDefault="00722CF1" w:rsidP="00722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7CC"/>
    <w:multiLevelType w:val="hybridMultilevel"/>
    <w:tmpl w:val="47F04CD4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E502815"/>
    <w:multiLevelType w:val="hybridMultilevel"/>
    <w:tmpl w:val="BAD2808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C32A84"/>
    <w:multiLevelType w:val="hybridMultilevel"/>
    <w:tmpl w:val="16761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A0638"/>
    <w:multiLevelType w:val="hybridMultilevel"/>
    <w:tmpl w:val="61B014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B35394"/>
    <w:multiLevelType w:val="hybridMultilevel"/>
    <w:tmpl w:val="2F007CB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6C831FD"/>
    <w:multiLevelType w:val="hybridMultilevel"/>
    <w:tmpl w:val="E1F87C32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297296730">
    <w:abstractNumId w:val="2"/>
  </w:num>
  <w:num w:numId="2" w16cid:durableId="1327974800">
    <w:abstractNumId w:val="3"/>
  </w:num>
  <w:num w:numId="3" w16cid:durableId="2014868397">
    <w:abstractNumId w:val="5"/>
  </w:num>
  <w:num w:numId="4" w16cid:durableId="1552381853">
    <w:abstractNumId w:val="0"/>
  </w:num>
  <w:num w:numId="5" w16cid:durableId="1405034691">
    <w:abstractNumId w:val="1"/>
  </w:num>
  <w:num w:numId="6" w16cid:durableId="1225022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7"/>
    <w:rsid w:val="00001432"/>
    <w:rsid w:val="000D24B9"/>
    <w:rsid w:val="00152BFE"/>
    <w:rsid w:val="001542A7"/>
    <w:rsid w:val="001B0137"/>
    <w:rsid w:val="001C6E92"/>
    <w:rsid w:val="001E37FE"/>
    <w:rsid w:val="001F15DD"/>
    <w:rsid w:val="002009EA"/>
    <w:rsid w:val="00204A7C"/>
    <w:rsid w:val="00237948"/>
    <w:rsid w:val="00284C20"/>
    <w:rsid w:val="002A1F35"/>
    <w:rsid w:val="002D3220"/>
    <w:rsid w:val="002F7BA8"/>
    <w:rsid w:val="003719A7"/>
    <w:rsid w:val="00412213"/>
    <w:rsid w:val="00423BFE"/>
    <w:rsid w:val="00442EF0"/>
    <w:rsid w:val="00470886"/>
    <w:rsid w:val="00481D73"/>
    <w:rsid w:val="0049379A"/>
    <w:rsid w:val="004B6E08"/>
    <w:rsid w:val="004B7210"/>
    <w:rsid w:val="005006D9"/>
    <w:rsid w:val="0050507F"/>
    <w:rsid w:val="0053121A"/>
    <w:rsid w:val="0053505F"/>
    <w:rsid w:val="005B26C3"/>
    <w:rsid w:val="006120DC"/>
    <w:rsid w:val="00627A93"/>
    <w:rsid w:val="00631D27"/>
    <w:rsid w:val="006E22EA"/>
    <w:rsid w:val="006F13F0"/>
    <w:rsid w:val="006F38AD"/>
    <w:rsid w:val="00722CF1"/>
    <w:rsid w:val="00765AC1"/>
    <w:rsid w:val="00785A59"/>
    <w:rsid w:val="007A05B8"/>
    <w:rsid w:val="007C1596"/>
    <w:rsid w:val="007E57D4"/>
    <w:rsid w:val="00816B48"/>
    <w:rsid w:val="0083724E"/>
    <w:rsid w:val="00843E64"/>
    <w:rsid w:val="00876687"/>
    <w:rsid w:val="00892B6C"/>
    <w:rsid w:val="008A54BC"/>
    <w:rsid w:val="0091407A"/>
    <w:rsid w:val="00957241"/>
    <w:rsid w:val="00957CF1"/>
    <w:rsid w:val="00995345"/>
    <w:rsid w:val="009D101D"/>
    <w:rsid w:val="00A10587"/>
    <w:rsid w:val="00A2601E"/>
    <w:rsid w:val="00A711E1"/>
    <w:rsid w:val="00AD6154"/>
    <w:rsid w:val="00AE2688"/>
    <w:rsid w:val="00B17BCE"/>
    <w:rsid w:val="00B60EA1"/>
    <w:rsid w:val="00B6362C"/>
    <w:rsid w:val="00BA35AF"/>
    <w:rsid w:val="00BA5B02"/>
    <w:rsid w:val="00BA5B13"/>
    <w:rsid w:val="00BC56F7"/>
    <w:rsid w:val="00C258BC"/>
    <w:rsid w:val="00C447E0"/>
    <w:rsid w:val="00C45841"/>
    <w:rsid w:val="00C63F4B"/>
    <w:rsid w:val="00CB65D8"/>
    <w:rsid w:val="00D07E51"/>
    <w:rsid w:val="00DA0BBA"/>
    <w:rsid w:val="00DE23ED"/>
    <w:rsid w:val="00E154F0"/>
    <w:rsid w:val="00E223F4"/>
    <w:rsid w:val="00E47D96"/>
    <w:rsid w:val="00E706E9"/>
    <w:rsid w:val="00E839D2"/>
    <w:rsid w:val="00EC7E36"/>
    <w:rsid w:val="00F556E9"/>
    <w:rsid w:val="00F7342C"/>
    <w:rsid w:val="00F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F450C6"/>
  <w15:chartTrackingRefBased/>
  <w15:docId w15:val="{BEC6D5B5-093D-4B7C-87E4-BC51A4D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7"/>
  </w:style>
  <w:style w:type="paragraph" w:styleId="Footer">
    <w:name w:val="footer"/>
    <w:basedOn w:val="Normal"/>
    <w:link w:val="Foot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7"/>
  </w:style>
  <w:style w:type="table" w:styleId="TableGrid">
    <w:name w:val="Table Grid"/>
    <w:basedOn w:val="TableNormal"/>
    <w:uiPriority w:val="39"/>
    <w:rsid w:val="008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BFE"/>
    <w:rPr>
      <w:color w:val="605E5C"/>
      <w:shd w:val="clear" w:color="auto" w:fill="E1DFDD"/>
    </w:rPr>
  </w:style>
  <w:style w:type="paragraph" w:customStyle="1" w:styleId="IntroParagraph">
    <w:name w:val="Intro Paragraph"/>
    <w:basedOn w:val="Normal"/>
    <w:qFormat/>
    <w:rsid w:val="00816B48"/>
    <w:pPr>
      <w:spacing w:before="240" w:after="240" w:line="264" w:lineRule="auto"/>
    </w:pPr>
    <w:rPr>
      <w:color w:val="A5A5A5" w:themeColor="accent3"/>
    </w:rPr>
  </w:style>
  <w:style w:type="paragraph" w:styleId="ListParagraph">
    <w:name w:val="List Paragraph"/>
    <w:basedOn w:val="Normal"/>
    <w:uiPriority w:val="34"/>
    <w:qFormat/>
    <w:rsid w:val="00C45841"/>
    <w:pPr>
      <w:ind w:left="720"/>
      <w:contextualSpacing/>
    </w:pPr>
  </w:style>
  <w:style w:type="paragraph" w:styleId="NoSpacing">
    <w:name w:val="No Spacing"/>
    <w:uiPriority w:val="1"/>
    <w:qFormat/>
    <w:rsid w:val="00CB6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Brand</dc:creator>
  <cp:keywords/>
  <dc:description/>
  <cp:lastModifiedBy>Tara Waaka</cp:lastModifiedBy>
  <cp:revision>2</cp:revision>
  <dcterms:created xsi:type="dcterms:W3CDTF">2023-09-07T23:23:00Z</dcterms:created>
  <dcterms:modified xsi:type="dcterms:W3CDTF">2023-09-07T23:23:00Z</dcterms:modified>
</cp:coreProperties>
</file>